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34" w14:textId="7A3AEFA8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 w:rsidRPr="004B12E5">
        <w:rPr>
          <w:rFonts w:eastAsia="Times New Roman"/>
          <w:bCs/>
          <w:spacing w:val="-5"/>
          <w:lang w:eastAsia="hr-HR"/>
        </w:rPr>
        <w:t>Broj: 02OV-0</w:t>
      </w:r>
      <w:r w:rsidR="009A286E" w:rsidRPr="004B12E5">
        <w:rPr>
          <w:rFonts w:eastAsia="Times New Roman"/>
          <w:bCs/>
          <w:spacing w:val="-5"/>
          <w:lang w:eastAsia="hr-HR"/>
        </w:rPr>
        <w:t>1</w:t>
      </w:r>
      <w:r w:rsidR="00A43159" w:rsidRPr="004B12E5">
        <w:rPr>
          <w:rFonts w:eastAsia="Times New Roman"/>
          <w:bCs/>
          <w:spacing w:val="-5"/>
          <w:lang w:eastAsia="hr-HR"/>
        </w:rPr>
        <w:t>-</w:t>
      </w:r>
      <w:r w:rsidR="00294001" w:rsidRPr="004B12E5">
        <w:rPr>
          <w:rFonts w:eastAsia="Times New Roman"/>
          <w:bCs/>
          <w:spacing w:val="-5"/>
          <w:lang w:eastAsia="hr-HR"/>
        </w:rPr>
        <w:t>1-</w:t>
      </w:r>
      <w:r w:rsidR="00CC0310">
        <w:rPr>
          <w:rFonts w:eastAsia="Times New Roman"/>
          <w:bCs/>
          <w:spacing w:val="-5"/>
          <w:lang w:eastAsia="hr-HR"/>
        </w:rPr>
        <w:t>5852</w:t>
      </w:r>
      <w:r w:rsidRPr="004B12E5">
        <w:rPr>
          <w:rFonts w:eastAsia="Times New Roman"/>
          <w:bCs/>
          <w:spacing w:val="-5"/>
          <w:lang w:eastAsia="hr-HR"/>
        </w:rPr>
        <w:t>/2</w:t>
      </w:r>
      <w:r w:rsidR="004E2C4E">
        <w:rPr>
          <w:rFonts w:eastAsia="Times New Roman"/>
          <w:bCs/>
          <w:spacing w:val="-5"/>
          <w:lang w:eastAsia="hr-HR"/>
        </w:rPr>
        <w:t>4</w:t>
      </w:r>
      <w:r w:rsidRPr="004B12E5">
        <w:rPr>
          <w:rFonts w:eastAsia="Times New Roman"/>
          <w:bCs/>
          <w:spacing w:val="-5"/>
          <w:lang w:eastAsia="hr-HR"/>
        </w:rPr>
        <w:tab/>
      </w:r>
      <w:r w:rsidRPr="004B12E5">
        <w:rPr>
          <w:rFonts w:eastAsia="Times New Roman"/>
          <w:bCs/>
          <w:spacing w:val="-5"/>
          <w:lang w:eastAsia="hr-HR"/>
        </w:rPr>
        <w:tab/>
      </w:r>
    </w:p>
    <w:p w14:paraId="68550318" w14:textId="362A8E5E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 xml:space="preserve">Sarajevo, </w:t>
      </w:r>
      <w:r w:rsidR="00CC0310">
        <w:rPr>
          <w:rFonts w:eastAsia="Times New Roman"/>
          <w:bCs/>
          <w:spacing w:val="-5"/>
          <w:lang w:eastAsia="hr-HR"/>
        </w:rPr>
        <w:t>2</w:t>
      </w:r>
      <w:r w:rsidR="00514C93">
        <w:rPr>
          <w:rFonts w:eastAsia="Times New Roman"/>
          <w:bCs/>
          <w:spacing w:val="-5"/>
          <w:lang w:eastAsia="hr-HR"/>
        </w:rPr>
        <w:t>4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CE4963">
        <w:rPr>
          <w:rFonts w:eastAsia="Times New Roman"/>
          <w:bCs/>
          <w:spacing w:val="-5"/>
          <w:lang w:eastAsia="hr-HR"/>
        </w:rPr>
        <w:t>0</w:t>
      </w:r>
      <w:r w:rsidR="001E54A1">
        <w:rPr>
          <w:rFonts w:eastAsia="Times New Roman"/>
          <w:bCs/>
          <w:spacing w:val="-5"/>
          <w:lang w:eastAsia="hr-HR"/>
        </w:rPr>
        <w:t>6</w:t>
      </w:r>
      <w:r w:rsidR="00DE0320">
        <w:rPr>
          <w:rFonts w:eastAsia="Times New Roman"/>
          <w:bCs/>
          <w:spacing w:val="-5"/>
          <w:lang w:eastAsia="hr-HR"/>
        </w:rPr>
        <w:t>.</w:t>
      </w:r>
      <w:r w:rsidR="004E2C4E">
        <w:rPr>
          <w:rFonts w:eastAsia="Times New Roman"/>
          <w:bCs/>
          <w:spacing w:val="-5"/>
          <w:lang w:eastAsia="hr-HR"/>
        </w:rPr>
        <w:t>2024.</w:t>
      </w:r>
      <w:r w:rsidRPr="004B12E5">
        <w:rPr>
          <w:rFonts w:eastAsia="Times New Roman"/>
          <w:bCs/>
          <w:spacing w:val="-5"/>
          <w:lang w:eastAsia="hr-HR"/>
        </w:rPr>
        <w:t xml:space="preserve">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3824E43E" w14:textId="5A333F93" w:rsidR="00514C93" w:rsidRDefault="00514C93" w:rsidP="00BB4912">
      <w:pPr>
        <w:pStyle w:val="NoSpacing"/>
      </w:pPr>
    </w:p>
    <w:p w14:paraId="4D4BEBAB" w14:textId="77777777" w:rsidR="0083428F" w:rsidRDefault="0083428F" w:rsidP="00BB4912">
      <w:pPr>
        <w:pStyle w:val="NoSpacing"/>
        <w:rPr>
          <w:b/>
          <w:bCs/>
        </w:rPr>
      </w:pP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5905D1FB" w14:textId="4F556D63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31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4203E72D" w14:textId="7D6045B5" w:rsidR="00DF767F" w:rsidRPr="0083428F" w:rsidRDefault="00514C93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 xml:space="preserve">Obavještavamo vas da će se </w:t>
      </w:r>
      <w:r w:rsidRPr="00514C93">
        <w:t>31.</w:t>
      </w:r>
      <w:r w:rsidR="00BB2408">
        <w:t xml:space="preserve"> redovna </w:t>
      </w:r>
      <w:r w:rsidRPr="00514C93">
        <w:t xml:space="preserve">sjednica Općinske izborne komisije Novo Sarajevo održati </w:t>
      </w:r>
      <w:r w:rsidRPr="00514C93">
        <w:rPr>
          <w:rFonts w:eastAsia="Times New Roman"/>
          <w:spacing w:val="-5"/>
          <w:lang w:eastAsia="hr-HR"/>
        </w:rPr>
        <w:t>dana 25.06.2024. godine /utorak/, sa početkom rada u 16:30 sati, u zgradi Općine Novo Sarajevo, 2. sprat – u prostorijama O</w:t>
      </w:r>
      <w:r w:rsidRPr="00514C93">
        <w:rPr>
          <w:rFonts w:eastAsia="Times New Roman"/>
          <w:spacing w:val="-5"/>
          <w:lang w:eastAsia="hr-HR"/>
        </w:rPr>
        <w:t xml:space="preserve">pćinske izborne komisije Novo Sarajevo, </w:t>
      </w:r>
      <w:r w:rsidRPr="00514C93">
        <w:t>ul</w:t>
      </w:r>
      <w:r w:rsidRPr="00514C93">
        <w:t>.</w:t>
      </w:r>
      <w:r w:rsidRPr="00514C93">
        <w:t xml:space="preserve"> Zmaja od Bosne 55, II sprat, zgrada Općine Novo Sarajevo sa sljedećim dnevnim redom:</w:t>
      </w:r>
    </w:p>
    <w:p w14:paraId="01F5E122" w14:textId="77777777" w:rsidR="005B6D21" w:rsidRPr="004B12E5" w:rsidRDefault="005B6D21" w:rsidP="005B6D21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</w:p>
    <w:p w14:paraId="5C3A05C1" w14:textId="71352EFF" w:rsidR="00514C93" w:rsidRPr="00514C93" w:rsidRDefault="00CE4963" w:rsidP="00514C93">
      <w:pPr>
        <w:numPr>
          <w:ilvl w:val="0"/>
          <w:numId w:val="14"/>
        </w:numPr>
        <w:spacing w:after="0" w:line="276" w:lineRule="auto"/>
        <w:contextualSpacing/>
        <w:rPr>
          <w:rFonts w:eastAsia="Times New Roman"/>
          <w:bCs/>
          <w:spacing w:val="-5"/>
          <w:lang w:eastAsia="hr-HR"/>
        </w:rPr>
      </w:pPr>
      <w:r>
        <w:rPr>
          <w:rFonts w:eastAsia="Times New Roman"/>
          <w:bCs/>
          <w:spacing w:val="-5"/>
          <w:lang w:eastAsia="hr-HR"/>
        </w:rPr>
        <w:t>Razmatranje i usvajanje Zapisnika sa</w:t>
      </w:r>
      <w:r w:rsidR="00CC0310">
        <w:rPr>
          <w:rFonts w:eastAsia="Times New Roman"/>
          <w:bCs/>
          <w:spacing w:val="-5"/>
          <w:lang w:eastAsia="hr-HR"/>
        </w:rPr>
        <w:t xml:space="preserve"> 30</w:t>
      </w:r>
      <w:r>
        <w:rPr>
          <w:rFonts w:eastAsia="Times New Roman"/>
          <w:bCs/>
          <w:spacing w:val="-5"/>
          <w:lang w:eastAsia="hr-HR"/>
        </w:rPr>
        <w:t xml:space="preserve">. </w:t>
      </w:r>
      <w:r w:rsidR="00CC0310">
        <w:rPr>
          <w:rFonts w:eastAsia="Times New Roman"/>
          <w:bCs/>
          <w:spacing w:val="-5"/>
          <w:lang w:eastAsia="hr-HR"/>
        </w:rPr>
        <w:t>redovne</w:t>
      </w:r>
      <w:r>
        <w:rPr>
          <w:rFonts w:eastAsia="Times New Roman"/>
          <w:bCs/>
          <w:spacing w:val="-5"/>
          <w:lang w:eastAsia="hr-HR"/>
        </w:rPr>
        <w:t xml:space="preserve"> sjednice Komisije;</w:t>
      </w:r>
    </w:p>
    <w:p w14:paraId="2E66217A" w14:textId="51A009D0" w:rsidR="00CC0310" w:rsidRPr="00CC0310" w:rsidRDefault="00CC0310" w:rsidP="00514C93">
      <w:pPr>
        <w:numPr>
          <w:ilvl w:val="0"/>
          <w:numId w:val="14"/>
        </w:numPr>
        <w:spacing w:after="0" w:line="276" w:lineRule="auto"/>
        <w:contextualSpacing/>
        <w:rPr>
          <w:rFonts w:eastAsia="Times New Roman"/>
          <w:bCs/>
          <w:spacing w:val="-5"/>
          <w:lang w:eastAsia="hr-HR"/>
        </w:rPr>
      </w:pPr>
      <w:r w:rsidRPr="00CC0310">
        <w:rPr>
          <w:rFonts w:eastAsia="Times New Roman"/>
          <w:bCs/>
          <w:spacing w:val="-5"/>
          <w:lang w:eastAsia="hr-HR"/>
        </w:rPr>
        <w:t xml:space="preserve">Razmatranje i donošenje </w:t>
      </w:r>
      <w:r>
        <w:rPr>
          <w:rFonts w:eastAsia="Times New Roman"/>
          <w:bCs/>
          <w:spacing w:val="-5"/>
          <w:lang w:eastAsia="hr-HR"/>
        </w:rPr>
        <w:t>P</w:t>
      </w:r>
      <w:r w:rsidRPr="00CC0310">
        <w:rPr>
          <w:rFonts w:eastAsia="Times New Roman"/>
          <w:bCs/>
          <w:spacing w:val="-5"/>
          <w:lang w:eastAsia="hr-HR"/>
        </w:rPr>
        <w:t>ravilnik</w:t>
      </w:r>
      <w:r>
        <w:rPr>
          <w:rFonts w:eastAsia="Times New Roman"/>
          <w:bCs/>
          <w:spacing w:val="-5"/>
          <w:lang w:eastAsia="hr-HR"/>
        </w:rPr>
        <w:t>a</w:t>
      </w:r>
      <w:r w:rsidRPr="00CC0310">
        <w:rPr>
          <w:rFonts w:eastAsia="Times New Roman"/>
          <w:bCs/>
          <w:spacing w:val="-5"/>
          <w:lang w:eastAsia="hr-HR"/>
        </w:rPr>
        <w:t xml:space="preserve"> o načinu arhiviranja i evidentiranju službene dokumentacije  Općinske izborne komisije Novo Sarajevo</w:t>
      </w:r>
      <w:r w:rsidR="00CF52F2">
        <w:rPr>
          <w:rFonts w:eastAsia="Times New Roman"/>
          <w:bCs/>
          <w:spacing w:val="-5"/>
          <w:lang w:eastAsia="hr-HR"/>
        </w:rPr>
        <w:t>;</w:t>
      </w:r>
    </w:p>
    <w:p w14:paraId="11CC8968" w14:textId="501328B0" w:rsidR="00514C93" w:rsidRPr="00514C93" w:rsidRDefault="00CF52F2" w:rsidP="00514C93">
      <w:pPr>
        <w:numPr>
          <w:ilvl w:val="0"/>
          <w:numId w:val="14"/>
        </w:numPr>
        <w:spacing w:after="0" w:line="276" w:lineRule="auto"/>
        <w:contextualSpacing/>
        <w:rPr>
          <w:rFonts w:eastAsia="Times New Roman"/>
          <w:bCs/>
          <w:spacing w:val="-5"/>
          <w:lang w:eastAsia="hr-HR"/>
        </w:rPr>
      </w:pPr>
      <w:r w:rsidRPr="00514C93">
        <w:rPr>
          <w:rFonts w:eastAsia="Times New Roman"/>
          <w:bCs/>
          <w:spacing w:val="-5"/>
          <w:lang w:eastAsia="hr-HR"/>
        </w:rPr>
        <w:t>Ponovno raspisivanje i objavljivanje Javnog oglasa za izbor kandidata za popunu rezervne liste kvalifikovanih osoba za imenovanje članova biračkih odbora/mobilnog tima i njihovih zamjenika;</w:t>
      </w:r>
    </w:p>
    <w:p w14:paraId="0AE686C4" w14:textId="77777777" w:rsidR="00CE4963" w:rsidRPr="003757E4" w:rsidRDefault="00CE4963" w:rsidP="003757E4">
      <w:pPr>
        <w:numPr>
          <w:ilvl w:val="0"/>
          <w:numId w:val="14"/>
        </w:numPr>
        <w:spacing w:after="0" w:line="276" w:lineRule="auto"/>
        <w:contextualSpacing/>
        <w:rPr>
          <w:rFonts w:eastAsia="Times New Roman"/>
          <w:bCs/>
          <w:spacing w:val="-5"/>
          <w:lang w:eastAsia="hr-HR"/>
        </w:rPr>
      </w:pPr>
      <w:r w:rsidRPr="00514C93">
        <w:rPr>
          <w:rFonts w:eastAsia="Times New Roman"/>
          <w:bCs/>
          <w:spacing w:val="-5"/>
          <w:lang w:eastAsia="hr-HR"/>
        </w:rPr>
        <w:t>Dogovor o daljim aktivnostima.</w:t>
      </w:r>
    </w:p>
    <w:p w14:paraId="634C5F47" w14:textId="77777777" w:rsidR="00582F72" w:rsidRDefault="00582F72" w:rsidP="00B114EE">
      <w:pPr>
        <w:spacing w:after="0" w:line="240" w:lineRule="auto"/>
        <w:ind w:left="708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5D9C" w14:textId="77777777" w:rsidR="006C1CC5" w:rsidRDefault="006C1CC5" w:rsidP="007B5F74">
      <w:pPr>
        <w:spacing w:after="0" w:line="240" w:lineRule="auto"/>
      </w:pPr>
      <w:r>
        <w:separator/>
      </w:r>
    </w:p>
  </w:endnote>
  <w:endnote w:type="continuationSeparator" w:id="0">
    <w:p w14:paraId="55AAB2AB" w14:textId="77777777" w:rsidR="006C1CC5" w:rsidRDefault="006C1CC5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36FD" w14:textId="77777777" w:rsidR="006C1CC5" w:rsidRDefault="006C1CC5" w:rsidP="007B5F74">
      <w:pPr>
        <w:spacing w:after="0" w:line="240" w:lineRule="auto"/>
      </w:pPr>
      <w:r>
        <w:separator/>
      </w:r>
    </w:p>
  </w:footnote>
  <w:footnote w:type="continuationSeparator" w:id="0">
    <w:p w14:paraId="7614D28E" w14:textId="77777777" w:rsidR="006C1CC5" w:rsidRDefault="006C1CC5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156413">
    <w:abstractNumId w:val="0"/>
  </w:num>
  <w:num w:numId="2" w16cid:durableId="1279949394">
    <w:abstractNumId w:val="9"/>
  </w:num>
  <w:num w:numId="3" w16cid:durableId="1800218789">
    <w:abstractNumId w:val="4"/>
  </w:num>
  <w:num w:numId="4" w16cid:durableId="170028538">
    <w:abstractNumId w:val="6"/>
  </w:num>
  <w:num w:numId="5" w16cid:durableId="259024322">
    <w:abstractNumId w:val="2"/>
  </w:num>
  <w:num w:numId="6" w16cid:durableId="147451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030746">
    <w:abstractNumId w:val="11"/>
  </w:num>
  <w:num w:numId="8" w16cid:durableId="1775395414">
    <w:abstractNumId w:val="16"/>
  </w:num>
  <w:num w:numId="9" w16cid:durableId="1928340062">
    <w:abstractNumId w:val="5"/>
  </w:num>
  <w:num w:numId="10" w16cid:durableId="1537159275">
    <w:abstractNumId w:val="8"/>
  </w:num>
  <w:num w:numId="11" w16cid:durableId="1327321152">
    <w:abstractNumId w:val="1"/>
  </w:num>
  <w:num w:numId="12" w16cid:durableId="300497074">
    <w:abstractNumId w:val="3"/>
  </w:num>
  <w:num w:numId="13" w16cid:durableId="781531635">
    <w:abstractNumId w:val="10"/>
  </w:num>
  <w:num w:numId="14" w16cid:durableId="1855487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278315">
    <w:abstractNumId w:val="7"/>
  </w:num>
  <w:num w:numId="16" w16cid:durableId="2030714846">
    <w:abstractNumId w:val="14"/>
  </w:num>
  <w:num w:numId="17" w16cid:durableId="414936574">
    <w:abstractNumId w:val="13"/>
  </w:num>
  <w:num w:numId="18" w16cid:durableId="1705249807">
    <w:abstractNumId w:val="15"/>
  </w:num>
  <w:num w:numId="19" w16cid:durableId="538082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450F"/>
    <w:rsid w:val="00625B0B"/>
    <w:rsid w:val="0062620F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F27"/>
    <w:rsid w:val="00C760AF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96A8-8454-4811-893B-CFCEB86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10</cp:revision>
  <cp:lastPrinted>2023-11-21T13:42:00Z</cp:lastPrinted>
  <dcterms:created xsi:type="dcterms:W3CDTF">2024-06-24T14:25:00Z</dcterms:created>
  <dcterms:modified xsi:type="dcterms:W3CDTF">2024-06-24T14:26:00Z</dcterms:modified>
</cp:coreProperties>
</file>